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E66D65" w14:textId="0F6C9427" w:rsidR="00DA043B" w:rsidRPr="00703E28" w:rsidRDefault="003E10B2" w:rsidP="00D35276">
      <w:pPr>
        <w:pStyle w:val="P68B1DB1-Normalny1"/>
        <w:tabs>
          <w:tab w:val="left" w:pos="7797"/>
        </w:tabs>
        <w:ind w:left="284"/>
        <w:jc w:val="both"/>
        <w:rPr>
          <w:b/>
          <w:color w:val="FF0000"/>
          <w:sz w:val="16"/>
          <w:szCs w:val="16"/>
          <w:lang w:val="en-GB"/>
        </w:rPr>
      </w:pPr>
      <w:r w:rsidRPr="00703E28">
        <w:rPr>
          <w:b/>
          <w:color w:val="FF0000"/>
          <w:sz w:val="16"/>
          <w:lang w:val="en-GB"/>
        </w:rPr>
        <w:t>The clause concerns the reporting obligations of ORLEN S.A.</w:t>
      </w:r>
      <w:r w:rsidRPr="00703E28">
        <w:rPr>
          <w:color w:val="000000"/>
          <w:sz w:val="22"/>
          <w:lang w:val="en-GB"/>
        </w:rPr>
        <w:t xml:space="preserve"> </w:t>
      </w:r>
      <w:r w:rsidRPr="00703E28">
        <w:rPr>
          <w:b/>
          <w:color w:val="FF0000"/>
          <w:sz w:val="16"/>
          <w:lang w:val="en-GB"/>
        </w:rPr>
        <w:t>to the</w:t>
      </w:r>
      <w:r w:rsidR="00D825D9" w:rsidRPr="00703E28">
        <w:rPr>
          <w:b/>
          <w:color w:val="FF0000"/>
          <w:sz w:val="16"/>
          <w:lang w:val="en-GB"/>
        </w:rPr>
        <w:t xml:space="preserve"> </w:t>
      </w:r>
      <w:r w:rsidR="00D825D9">
        <w:rPr>
          <w:b/>
          <w:color w:val="FF0000"/>
          <w:sz w:val="16"/>
          <w:lang w:val="en-GB"/>
        </w:rPr>
        <w:t>European</w:t>
      </w:r>
      <w:r w:rsidRPr="00703E28">
        <w:rPr>
          <w:b/>
          <w:color w:val="FF0000"/>
          <w:sz w:val="16"/>
          <w:lang w:val="en-GB"/>
        </w:rPr>
        <w:t xml:space="preserve"> Commission (EU), as part of the functioning of the </w:t>
      </w:r>
      <w:r w:rsidR="00D825D9">
        <w:rPr>
          <w:b/>
          <w:color w:val="FF0000"/>
          <w:sz w:val="16"/>
          <w:lang w:val="en-GB"/>
        </w:rPr>
        <w:t xml:space="preserve">carbon border </w:t>
      </w:r>
      <w:r w:rsidRPr="00703E28">
        <w:rPr>
          <w:b/>
          <w:color w:val="FF0000"/>
          <w:sz w:val="16"/>
          <w:lang w:val="en-GB"/>
        </w:rPr>
        <w:t>adjustment mechanism (</w:t>
      </w:r>
      <w:r w:rsidR="00E51D0D" w:rsidRPr="00E51D0D">
        <w:rPr>
          <w:b/>
          <w:color w:val="FF0000"/>
          <w:sz w:val="16"/>
          <w:lang w:val="en-GB"/>
        </w:rPr>
        <w:t>hereinafter referred to as</w:t>
      </w:r>
      <w:r w:rsidR="00E51D0D">
        <w:rPr>
          <w:b/>
          <w:color w:val="FF0000"/>
          <w:sz w:val="16"/>
          <w:lang w:val="en-GB"/>
        </w:rPr>
        <w:t xml:space="preserve"> </w:t>
      </w:r>
      <w:r w:rsidRPr="00703E28">
        <w:rPr>
          <w:b/>
          <w:color w:val="FF0000"/>
          <w:sz w:val="16"/>
          <w:lang w:val="en-GB"/>
        </w:rPr>
        <w:t xml:space="preserve">„CBAM”). </w:t>
      </w:r>
    </w:p>
    <w:p w14:paraId="11208F39" w14:textId="5E7F5E8D" w:rsidR="00DA043B" w:rsidRPr="00703E28" w:rsidRDefault="003E10B2" w:rsidP="00D35276">
      <w:pPr>
        <w:pStyle w:val="P68B1DB1-Normalny2"/>
        <w:ind w:left="284"/>
        <w:jc w:val="both"/>
        <w:rPr>
          <w:bCs/>
          <w:szCs w:val="16"/>
          <w:lang w:val="en-GB"/>
        </w:rPr>
      </w:pPr>
      <w:r w:rsidRPr="00703E28">
        <w:rPr>
          <w:b/>
          <w:lang w:val="en-GB"/>
        </w:rPr>
        <w:t>The clause should be applied in contracts,</w:t>
      </w:r>
      <w:r w:rsidRPr="00703E28">
        <w:rPr>
          <w:lang w:val="en-GB"/>
        </w:rPr>
        <w:t xml:space="preserve"> </w:t>
      </w:r>
      <w:r w:rsidRPr="00703E28">
        <w:rPr>
          <w:b/>
          <w:lang w:val="en-GB"/>
        </w:rPr>
        <w:t>the subject of which is the import of goods covered by CBAM.</w:t>
      </w:r>
    </w:p>
    <w:p w14:paraId="5BC2054D" w14:textId="77777777" w:rsidR="00DA043B" w:rsidRPr="00703E28" w:rsidRDefault="00DA043B">
      <w:pPr>
        <w:pStyle w:val="P68B1DB1-Normalny3"/>
        <w:ind w:left="284"/>
        <w:jc w:val="center"/>
        <w:rPr>
          <w:bCs/>
          <w:szCs w:val="22"/>
          <w:lang w:val="en-GB"/>
        </w:rPr>
      </w:pPr>
    </w:p>
    <w:p w14:paraId="74ED4383" w14:textId="77777777" w:rsidR="00DA043B" w:rsidRPr="00703E28" w:rsidRDefault="00DA043B">
      <w:pPr>
        <w:ind w:left="284"/>
        <w:jc w:val="center"/>
        <w:rPr>
          <w:rFonts w:asciiTheme="minorHAnsi" w:hAnsiTheme="minorHAnsi" w:cstheme="minorHAnsi"/>
          <w:b/>
          <w:bCs/>
          <w:sz w:val="22"/>
          <w:szCs w:val="22"/>
          <w:lang w:val="en-GB"/>
        </w:rPr>
      </w:pPr>
    </w:p>
    <w:p w14:paraId="006D16A7" w14:textId="618E2C43" w:rsidR="00DA043B" w:rsidRPr="00703E28" w:rsidRDefault="003E10B2">
      <w:pPr>
        <w:pStyle w:val="P68B1DB1-Normalny3"/>
        <w:ind w:left="284"/>
        <w:jc w:val="center"/>
        <w:rPr>
          <w:color w:val="000000"/>
          <w:szCs w:val="22"/>
          <w:lang w:val="en-GB"/>
        </w:rPr>
      </w:pPr>
      <w:r w:rsidRPr="00703E28">
        <w:rPr>
          <w:lang w:val="en-GB"/>
        </w:rPr>
        <w:t>CBAM clause</w:t>
      </w:r>
    </w:p>
    <w:p w14:paraId="740AB84A" w14:textId="77777777" w:rsidR="00DA043B" w:rsidRPr="00703E28" w:rsidRDefault="00DA043B">
      <w:pPr>
        <w:ind w:left="284"/>
        <w:jc w:val="both"/>
        <w:rPr>
          <w:rFonts w:asciiTheme="minorHAnsi" w:hAnsiTheme="minorHAnsi" w:cstheme="minorHAnsi"/>
          <w:color w:val="000000"/>
          <w:sz w:val="22"/>
          <w:szCs w:val="22"/>
          <w:lang w:val="en-GB"/>
        </w:rPr>
      </w:pPr>
    </w:p>
    <w:p w14:paraId="579DEB85" w14:textId="2999B3AA" w:rsidR="00DA043B" w:rsidRPr="00703E28" w:rsidRDefault="003E10B2">
      <w:pPr>
        <w:pStyle w:val="P68B1DB1-Normalny4"/>
        <w:ind w:left="704" w:hanging="420"/>
        <w:jc w:val="both"/>
        <w:rPr>
          <w:szCs w:val="22"/>
          <w:lang w:val="en-GB"/>
        </w:rPr>
      </w:pPr>
      <w:r w:rsidRPr="00703E28">
        <w:rPr>
          <w:color w:val="000000"/>
          <w:lang w:val="en-GB"/>
        </w:rPr>
        <w:t>1.</w:t>
      </w:r>
      <w:r w:rsidRPr="00703E28">
        <w:rPr>
          <w:color w:val="000000"/>
          <w:szCs w:val="22"/>
          <w:lang w:val="en-GB"/>
        </w:rPr>
        <w:tab/>
      </w:r>
      <w:r w:rsidRPr="00703E28">
        <w:rPr>
          <w:color w:val="000000"/>
          <w:lang w:val="en-GB"/>
        </w:rPr>
        <w:t xml:space="preserve">Under the authority of: </w:t>
      </w:r>
      <w:r w:rsidRPr="00703E28">
        <w:rPr>
          <w:b/>
          <w:i/>
          <w:color w:val="000000"/>
          <w:lang w:val="en-GB"/>
        </w:rPr>
        <w:t>(i)</w:t>
      </w:r>
      <w:r w:rsidRPr="00703E28">
        <w:rPr>
          <w:color w:val="000000"/>
          <w:lang w:val="en-GB"/>
        </w:rPr>
        <w:t xml:space="preserve"> </w:t>
      </w:r>
      <w:r w:rsidRPr="00703E28">
        <w:rPr>
          <w:lang w:val="en-GB"/>
        </w:rPr>
        <w:t xml:space="preserve">Regulation (EU) 2023/956 of the European Parliament and of the Council </w:t>
      </w:r>
      <w:r w:rsidR="002F09FF">
        <w:rPr>
          <w:lang w:val="en-GB"/>
        </w:rPr>
        <w:t xml:space="preserve">of 10 May 2023 establishing </w:t>
      </w:r>
      <w:r w:rsidR="002F09FF" w:rsidRPr="002F09FF">
        <w:rPr>
          <w:lang w:val="en-GB"/>
        </w:rPr>
        <w:t>a carbon border adjustment mechanism</w:t>
      </w:r>
      <w:r w:rsidR="002F09FF">
        <w:rPr>
          <w:lang w:val="en-GB"/>
        </w:rPr>
        <w:t xml:space="preserve"> </w:t>
      </w:r>
      <w:r w:rsidRPr="00703E28">
        <w:rPr>
          <w:i/>
          <w:lang w:val="en-GB"/>
        </w:rPr>
        <w:t xml:space="preserve">[OJ L </w:t>
      </w:r>
      <w:r w:rsidR="002F09FF">
        <w:rPr>
          <w:i/>
          <w:lang w:val="en-GB"/>
        </w:rPr>
        <w:t>130</w:t>
      </w:r>
      <w:r w:rsidRPr="00703E28">
        <w:rPr>
          <w:i/>
          <w:lang w:val="en-GB"/>
        </w:rPr>
        <w:t>, p.</w:t>
      </w:r>
      <w:r w:rsidR="002F09FF">
        <w:rPr>
          <w:i/>
          <w:lang w:val="en-GB"/>
        </w:rPr>
        <w:t xml:space="preserve"> 52-104</w:t>
      </w:r>
      <w:r w:rsidRPr="00703E28">
        <w:rPr>
          <w:i/>
          <w:lang w:val="en-GB"/>
        </w:rPr>
        <w:t>],</w:t>
      </w:r>
      <w:r w:rsidRPr="00703E28">
        <w:rPr>
          <w:lang w:val="en-GB"/>
        </w:rPr>
        <w:t xml:space="preserve"> </w:t>
      </w:r>
      <w:r w:rsidRPr="00703E28">
        <w:rPr>
          <w:i/>
          <w:lang w:val="en-GB"/>
        </w:rPr>
        <w:t>hereinafter referred to as the ‘</w:t>
      </w:r>
      <w:r w:rsidRPr="00703E28">
        <w:rPr>
          <w:b/>
          <w:i/>
          <w:lang w:val="en-GB"/>
        </w:rPr>
        <w:t>Regulation</w:t>
      </w:r>
      <w:r w:rsidRPr="00703E28">
        <w:rPr>
          <w:i/>
          <w:lang w:val="en-GB"/>
        </w:rPr>
        <w:t xml:space="preserve">” </w:t>
      </w:r>
      <w:r w:rsidRPr="00703E28">
        <w:rPr>
          <w:lang w:val="en-GB"/>
        </w:rPr>
        <w:t>and</w:t>
      </w:r>
      <w:r w:rsidRPr="00703E28">
        <w:rPr>
          <w:i/>
          <w:lang w:val="en-GB"/>
        </w:rPr>
        <w:t xml:space="preserve"> </w:t>
      </w:r>
      <w:r w:rsidRPr="00703E28">
        <w:rPr>
          <w:b/>
          <w:i/>
          <w:lang w:val="en-GB"/>
        </w:rPr>
        <w:t>(ii)</w:t>
      </w:r>
      <w:r w:rsidRPr="00703E28">
        <w:rPr>
          <w:i/>
          <w:lang w:val="en-GB"/>
        </w:rPr>
        <w:t xml:space="preserve"> </w:t>
      </w:r>
      <w:r w:rsidRPr="00703E28">
        <w:rPr>
          <w:lang w:val="en-GB"/>
        </w:rPr>
        <w:t>Commission Implementing Regulation (EU) 2023/1773 of 17</w:t>
      </w:r>
      <w:r w:rsidR="00A11B90">
        <w:rPr>
          <w:lang w:val="en-GB"/>
        </w:rPr>
        <w:t xml:space="preserve"> August </w:t>
      </w:r>
      <w:r w:rsidRPr="00703E28">
        <w:rPr>
          <w:lang w:val="en-GB"/>
        </w:rPr>
        <w:t>2023</w:t>
      </w:r>
      <w:r w:rsidR="002F09FF">
        <w:rPr>
          <w:lang w:val="en-GB"/>
        </w:rPr>
        <w:t xml:space="preserve"> </w:t>
      </w:r>
      <w:r w:rsidR="00A11B90" w:rsidRPr="00A11B90">
        <w:rPr>
          <w:lang w:val="en-GB"/>
        </w:rPr>
        <w:t xml:space="preserve">laying down the rules for the application of Regulation as regards reporting obligations for the purposes of the carbon border adjustment mechanism during the transitional period </w:t>
      </w:r>
      <w:r w:rsidR="002F09FF" w:rsidRPr="00FA359D">
        <w:rPr>
          <w:i/>
          <w:lang w:val="en-GB"/>
        </w:rPr>
        <w:t>[OJ L 228, p.</w:t>
      </w:r>
      <w:r w:rsidR="00A11B90">
        <w:rPr>
          <w:i/>
          <w:lang w:val="en-GB"/>
        </w:rPr>
        <w:t xml:space="preserve"> </w:t>
      </w:r>
      <w:r w:rsidR="002F09FF" w:rsidRPr="00FA359D">
        <w:rPr>
          <w:i/>
          <w:lang w:val="en-GB"/>
        </w:rPr>
        <w:t>94</w:t>
      </w:r>
      <w:r w:rsidR="00A11B90">
        <w:rPr>
          <w:i/>
          <w:lang w:val="en-GB"/>
        </w:rPr>
        <w:t>-195</w:t>
      </w:r>
      <w:r w:rsidR="002F09FF" w:rsidRPr="00FA359D">
        <w:rPr>
          <w:i/>
          <w:lang w:val="en-GB"/>
        </w:rPr>
        <w:t>]</w:t>
      </w:r>
      <w:r w:rsidRPr="00703E28">
        <w:rPr>
          <w:lang w:val="en-GB"/>
        </w:rPr>
        <w:t xml:space="preserve">, as well as </w:t>
      </w:r>
      <w:r w:rsidR="00BF4095">
        <w:rPr>
          <w:lang w:val="en-GB"/>
        </w:rPr>
        <w:t xml:space="preserve">adopted </w:t>
      </w:r>
      <w:r w:rsidRPr="00703E28">
        <w:rPr>
          <w:lang w:val="en-GB"/>
        </w:rPr>
        <w:t xml:space="preserve">into the Polish legal system, </w:t>
      </w:r>
      <w:r w:rsidRPr="00703E28">
        <w:rPr>
          <w:b/>
          <w:i/>
          <w:lang w:val="en-GB"/>
        </w:rPr>
        <w:t>(iii)</w:t>
      </w:r>
      <w:r w:rsidRPr="00703E28">
        <w:rPr>
          <w:lang w:val="en-GB"/>
        </w:rPr>
        <w:t xml:space="preserve"> acts of national law, </w:t>
      </w:r>
      <w:r w:rsidRPr="00703E28">
        <w:rPr>
          <w:color w:val="000000"/>
          <w:lang w:val="en-GB"/>
        </w:rPr>
        <w:t xml:space="preserve">ORLEN S.A. has reporting obligations to the </w:t>
      </w:r>
      <w:r w:rsidR="00BF4095">
        <w:rPr>
          <w:color w:val="000000"/>
          <w:lang w:val="en-GB"/>
        </w:rPr>
        <w:t xml:space="preserve">European </w:t>
      </w:r>
      <w:r w:rsidRPr="00703E28">
        <w:rPr>
          <w:color w:val="000000"/>
          <w:lang w:val="en-GB"/>
        </w:rPr>
        <w:t>Commission</w:t>
      </w:r>
      <w:r w:rsidRPr="00703E28">
        <w:rPr>
          <w:lang w:val="en-GB"/>
        </w:rPr>
        <w:t xml:space="preserve"> as part of </w:t>
      </w:r>
      <w:r w:rsidR="00E51D0D">
        <w:rPr>
          <w:lang w:val="en-GB"/>
        </w:rPr>
        <w:t>CBAM compliance requirements</w:t>
      </w:r>
      <w:r w:rsidRPr="00703E28">
        <w:rPr>
          <w:i/>
          <w:color w:val="000000"/>
          <w:lang w:val="en-GB"/>
        </w:rPr>
        <w:t>.</w:t>
      </w:r>
    </w:p>
    <w:p w14:paraId="555A523E" w14:textId="77777777" w:rsidR="00DA043B" w:rsidRPr="00703E28" w:rsidRDefault="00DA043B">
      <w:pPr>
        <w:jc w:val="both"/>
        <w:rPr>
          <w:rFonts w:asciiTheme="minorHAnsi" w:hAnsiTheme="minorHAnsi" w:cstheme="minorHAnsi"/>
          <w:color w:val="000000"/>
          <w:sz w:val="22"/>
          <w:szCs w:val="22"/>
          <w:lang w:val="en-GB"/>
        </w:rPr>
      </w:pPr>
    </w:p>
    <w:p w14:paraId="09E7D60F" w14:textId="088E4B77" w:rsidR="00DA043B" w:rsidRPr="00703E28" w:rsidRDefault="003E10B2">
      <w:pPr>
        <w:pStyle w:val="P68B1DB1-Normalny4"/>
        <w:tabs>
          <w:tab w:val="left" w:pos="6804"/>
        </w:tabs>
        <w:ind w:left="704" w:hanging="420"/>
        <w:jc w:val="both"/>
        <w:rPr>
          <w:szCs w:val="22"/>
          <w:lang w:val="en-GB"/>
        </w:rPr>
      </w:pPr>
      <w:r w:rsidRPr="00703E28">
        <w:rPr>
          <w:lang w:val="en-GB"/>
        </w:rPr>
        <w:t>2.</w:t>
      </w:r>
      <w:r w:rsidRPr="00703E28">
        <w:rPr>
          <w:szCs w:val="22"/>
          <w:lang w:val="en-GB"/>
        </w:rPr>
        <w:tab/>
      </w:r>
      <w:r w:rsidRPr="00703E28">
        <w:rPr>
          <w:lang w:val="en-GB"/>
        </w:rPr>
        <w:t>CBAM reporting obligations</w:t>
      </w:r>
      <w:r w:rsidRPr="00703E28">
        <w:rPr>
          <w:color w:val="000000"/>
          <w:lang w:val="en-GB"/>
        </w:rPr>
        <w:t xml:space="preserve"> </w:t>
      </w:r>
      <w:r w:rsidR="00F72352">
        <w:rPr>
          <w:lang w:val="en-GB"/>
        </w:rPr>
        <w:t>apply to</w:t>
      </w:r>
      <w:r w:rsidR="00F72352" w:rsidRPr="00703E28">
        <w:rPr>
          <w:lang w:val="en-GB"/>
        </w:rPr>
        <w:t xml:space="preserve"> </w:t>
      </w:r>
      <w:r w:rsidRPr="00703E28">
        <w:rPr>
          <w:lang w:val="en-GB"/>
        </w:rPr>
        <w:t>the goods listed in Annex I to the Regulation, in particular the release for free circulation of such groups of goods as: </w:t>
      </w:r>
    </w:p>
    <w:p w14:paraId="051208D1" w14:textId="59BE5B00" w:rsidR="00DA043B" w:rsidRPr="00703E28" w:rsidRDefault="003E10B2">
      <w:pPr>
        <w:pStyle w:val="P68B1DB1-Normalny4"/>
        <w:tabs>
          <w:tab w:val="left" w:pos="6804"/>
        </w:tabs>
        <w:ind w:left="704" w:hanging="420"/>
        <w:jc w:val="both"/>
        <w:rPr>
          <w:szCs w:val="22"/>
          <w:lang w:val="en-GB"/>
        </w:rPr>
      </w:pPr>
      <w:r w:rsidRPr="00703E28">
        <w:rPr>
          <w:szCs w:val="22"/>
          <w:lang w:val="en-GB"/>
        </w:rPr>
        <w:tab/>
      </w:r>
      <w:r w:rsidRPr="00703E28">
        <w:rPr>
          <w:b/>
          <w:i/>
          <w:lang w:val="en-GB"/>
        </w:rPr>
        <w:t>(i)</w:t>
      </w:r>
      <w:r w:rsidRPr="00703E28">
        <w:rPr>
          <w:lang w:val="en-GB"/>
        </w:rPr>
        <w:t xml:space="preserve"> cement, </w:t>
      </w:r>
      <w:r w:rsidRPr="00703E28">
        <w:rPr>
          <w:b/>
          <w:i/>
          <w:lang w:val="en-GB"/>
        </w:rPr>
        <w:t>(ii)</w:t>
      </w:r>
      <w:r w:rsidRPr="00703E28">
        <w:rPr>
          <w:lang w:val="en-GB"/>
        </w:rPr>
        <w:t xml:space="preserve"> iron and steel, </w:t>
      </w:r>
      <w:r w:rsidRPr="00703E28">
        <w:rPr>
          <w:b/>
          <w:i/>
          <w:lang w:val="en-GB"/>
        </w:rPr>
        <w:t>(iii)</w:t>
      </w:r>
      <w:r w:rsidRPr="00703E28">
        <w:rPr>
          <w:lang w:val="en-GB"/>
        </w:rPr>
        <w:t xml:space="preserve"> aluminium, </w:t>
      </w:r>
      <w:r w:rsidRPr="00703E28">
        <w:rPr>
          <w:b/>
          <w:i/>
          <w:lang w:val="en-GB"/>
        </w:rPr>
        <w:t>(iv)</w:t>
      </w:r>
      <w:r w:rsidRPr="00703E28">
        <w:rPr>
          <w:lang w:val="en-GB"/>
        </w:rPr>
        <w:t xml:space="preserve"> fertilisers, </w:t>
      </w:r>
      <w:r w:rsidRPr="00703E28">
        <w:rPr>
          <w:b/>
          <w:i/>
          <w:lang w:val="en-GB"/>
        </w:rPr>
        <w:t>(v)</w:t>
      </w:r>
      <w:r w:rsidRPr="00703E28">
        <w:rPr>
          <w:lang w:val="en-GB"/>
        </w:rPr>
        <w:t xml:space="preserve"> hydrogen, </w:t>
      </w:r>
      <w:r w:rsidRPr="00703E28">
        <w:rPr>
          <w:b/>
          <w:i/>
          <w:lang w:val="en-GB"/>
        </w:rPr>
        <w:t>(vi)</w:t>
      </w:r>
      <w:r w:rsidRPr="00703E28">
        <w:rPr>
          <w:lang w:val="en-GB"/>
        </w:rPr>
        <w:t xml:space="preserve"> electricity - when these goods or processed products resulting from these goods under the inward processing procedure </w:t>
      </w:r>
      <w:r w:rsidRPr="00703E28">
        <w:rPr>
          <w:i/>
          <w:lang w:val="en-GB"/>
        </w:rPr>
        <w:t>referred to in Article 256 of Regulation (EU) No 952/2013</w:t>
      </w:r>
      <w:r w:rsidRPr="00703E28">
        <w:rPr>
          <w:lang w:val="en-GB"/>
        </w:rPr>
        <w:t xml:space="preserve"> are imported into the customs territory of the European Union</w:t>
      </w:r>
      <w:r w:rsidR="00F72352" w:rsidRPr="00F72352">
        <w:rPr>
          <w:lang w:val="en-GB"/>
        </w:rPr>
        <w:t>, excluding the countries and territories indicated in Annex III of the Regulation</w:t>
      </w:r>
      <w:r w:rsidRPr="00703E28">
        <w:rPr>
          <w:lang w:val="en-GB"/>
        </w:rPr>
        <w:t>.</w:t>
      </w:r>
      <w:r w:rsidR="007B39FC">
        <w:rPr>
          <w:lang w:val="en-GB"/>
        </w:rPr>
        <w:t xml:space="preserve"> The list of the goods subject to CBAM reporting obligation may be extended in compliance with the applicable legal provisions. </w:t>
      </w:r>
    </w:p>
    <w:p w14:paraId="1FE8E9CF" w14:textId="77777777" w:rsidR="00DA043B" w:rsidRPr="00703E28" w:rsidRDefault="00DA043B">
      <w:pPr>
        <w:ind w:left="284" w:hanging="284"/>
        <w:jc w:val="both"/>
        <w:rPr>
          <w:rFonts w:asciiTheme="minorHAnsi" w:hAnsiTheme="minorHAnsi" w:cstheme="minorHAnsi"/>
          <w:i/>
          <w:sz w:val="22"/>
          <w:szCs w:val="22"/>
          <w:lang w:val="en-GB"/>
        </w:rPr>
      </w:pPr>
    </w:p>
    <w:p w14:paraId="0D4365CB" w14:textId="1FB5E413" w:rsidR="00DA043B" w:rsidRPr="00703E28" w:rsidRDefault="003E10B2">
      <w:pPr>
        <w:pStyle w:val="P68B1DB1-Normalny4"/>
        <w:ind w:left="704" w:hanging="420"/>
        <w:jc w:val="both"/>
        <w:rPr>
          <w:szCs w:val="22"/>
          <w:lang w:val="en-GB"/>
        </w:rPr>
      </w:pPr>
      <w:r w:rsidRPr="00703E28">
        <w:rPr>
          <w:color w:val="000000"/>
          <w:lang w:val="en-GB"/>
        </w:rPr>
        <w:t>3.</w:t>
      </w:r>
      <w:r w:rsidRPr="00703E28">
        <w:rPr>
          <w:color w:val="000000"/>
          <w:szCs w:val="22"/>
          <w:lang w:val="en-GB"/>
        </w:rPr>
        <w:tab/>
      </w:r>
      <w:r w:rsidRPr="00703E28">
        <w:rPr>
          <w:color w:val="000000"/>
          <w:lang w:val="en-GB"/>
        </w:rPr>
        <w:t xml:space="preserve">In order to ensure </w:t>
      </w:r>
      <w:r w:rsidR="008515ED">
        <w:rPr>
          <w:color w:val="000000"/>
          <w:lang w:val="en-GB"/>
        </w:rPr>
        <w:t>Buyer's compliance</w:t>
      </w:r>
      <w:r w:rsidRPr="00703E28">
        <w:rPr>
          <w:color w:val="000000"/>
          <w:lang w:val="en-GB"/>
        </w:rPr>
        <w:t xml:space="preserve"> </w:t>
      </w:r>
      <w:r w:rsidR="008515ED">
        <w:rPr>
          <w:color w:val="000000"/>
          <w:lang w:val="en-GB"/>
        </w:rPr>
        <w:t xml:space="preserve">with </w:t>
      </w:r>
      <w:r w:rsidRPr="00703E28">
        <w:rPr>
          <w:color w:val="000000"/>
          <w:lang w:val="en-GB"/>
        </w:rPr>
        <w:t xml:space="preserve">the aforementioned CBAM reporting obligations, </w:t>
      </w:r>
      <w:r w:rsidRPr="00703E28">
        <w:rPr>
          <w:lang w:val="en-GB"/>
        </w:rPr>
        <w:t xml:space="preserve">the Seller shall, with </w:t>
      </w:r>
      <w:r w:rsidR="009E6811">
        <w:rPr>
          <w:lang w:val="en-GB"/>
        </w:rPr>
        <w:t xml:space="preserve">regards to </w:t>
      </w:r>
      <w:r w:rsidRPr="00703E28">
        <w:rPr>
          <w:lang w:val="en-GB"/>
        </w:rPr>
        <w:t xml:space="preserve">each (including partial) delivery of goods, provide the Buyer with a duly completed exchange form in xlsx format, to the e-mail address as </w:t>
      </w:r>
      <w:r w:rsidR="009E6811">
        <w:rPr>
          <w:lang w:val="en-GB"/>
        </w:rPr>
        <w:t xml:space="preserve">indicated </w:t>
      </w:r>
      <w:r w:rsidRPr="00703E28">
        <w:rPr>
          <w:lang w:val="en-GB"/>
        </w:rPr>
        <w:t xml:space="preserve">in the Order, by no later than the date of dispatch of the relevant goods. </w:t>
      </w:r>
      <w:r w:rsidR="009E6811">
        <w:rPr>
          <w:lang w:val="en-GB"/>
        </w:rPr>
        <w:t xml:space="preserve">Form </w:t>
      </w:r>
      <w:r w:rsidRPr="00703E28">
        <w:rPr>
          <w:lang w:val="en-GB"/>
        </w:rPr>
        <w:t xml:space="preserve">template is available </w:t>
      </w:r>
      <w:r w:rsidR="009E6811">
        <w:rPr>
          <w:lang w:val="en-GB"/>
        </w:rPr>
        <w:t xml:space="preserve">for download </w:t>
      </w:r>
      <w:r w:rsidRPr="00703E28">
        <w:rPr>
          <w:lang w:val="en-GB"/>
        </w:rPr>
        <w:t>at:</w:t>
      </w:r>
    </w:p>
    <w:p w14:paraId="52588229" w14:textId="77777777" w:rsidR="00D35276" w:rsidRPr="00D35276" w:rsidRDefault="00D35276" w:rsidP="00D35276">
      <w:pPr>
        <w:ind w:left="704"/>
        <w:jc w:val="center"/>
        <w:rPr>
          <w:rFonts w:asciiTheme="minorHAnsi" w:hAnsiTheme="minorHAnsi" w:cstheme="minorHAnsi"/>
          <w:sz w:val="16"/>
          <w:szCs w:val="16"/>
          <w:lang w:val="en-GB"/>
        </w:rPr>
      </w:pPr>
      <w:hyperlink r:id="rId6" w:history="1">
        <w:r w:rsidRPr="00D35276">
          <w:rPr>
            <w:rStyle w:val="Hipercze"/>
            <w:rFonts w:ascii="Calibri" w:hAnsi="Calibri" w:cs="Calibri"/>
            <w:sz w:val="16"/>
            <w:szCs w:val="16"/>
            <w:lang w:val="en-GB"/>
          </w:rPr>
          <w:t>https://taxation-customs.ec.europa.eu/document/download/2c15cd0e-2447-4ef8-ab70-68b80b66ede8_en?filename=CBAM%20Communication%20template%20for%20installations_en_20241213.xlsx</w:t>
        </w:r>
      </w:hyperlink>
    </w:p>
    <w:p w14:paraId="50A122FE" w14:textId="06F3B328" w:rsidR="00DA043B" w:rsidRPr="00703E28" w:rsidRDefault="00DA043B">
      <w:pPr>
        <w:pStyle w:val="P68B1DB1-Normalny4"/>
        <w:ind w:left="704" w:hanging="420"/>
        <w:jc w:val="both"/>
        <w:rPr>
          <w:bCs/>
          <w:szCs w:val="22"/>
          <w:lang w:val="en-GB"/>
        </w:rPr>
      </w:pPr>
    </w:p>
    <w:p w14:paraId="7FA0FDBB" w14:textId="1FFB65A0" w:rsidR="00DA043B" w:rsidRDefault="003E10B2">
      <w:pPr>
        <w:pStyle w:val="P68B1DB1-Normalny4"/>
        <w:ind w:left="704" w:hanging="420"/>
        <w:jc w:val="both"/>
        <w:rPr>
          <w:lang w:val="en-GB"/>
        </w:rPr>
      </w:pPr>
      <w:r w:rsidRPr="00703E28">
        <w:rPr>
          <w:lang w:val="en-GB"/>
        </w:rPr>
        <w:t>4.</w:t>
      </w:r>
      <w:r w:rsidRPr="00703E28">
        <w:rPr>
          <w:szCs w:val="22"/>
          <w:lang w:val="en-GB"/>
        </w:rPr>
        <w:tab/>
      </w:r>
      <w:r w:rsidRPr="00703E28">
        <w:rPr>
          <w:lang w:val="en-GB"/>
        </w:rPr>
        <w:t xml:space="preserve">If the data or information </w:t>
      </w:r>
      <w:r w:rsidR="00B44D88">
        <w:rPr>
          <w:lang w:val="en-GB"/>
        </w:rPr>
        <w:t xml:space="preserve">reported </w:t>
      </w:r>
      <w:r w:rsidRPr="00703E28">
        <w:rPr>
          <w:lang w:val="en-GB"/>
        </w:rPr>
        <w:t>is incomplete or incorrect, the Buyer shall request the Seller in writing to complete or correct it accordingly. The Seller shall send the corrected form to the Buyer immediately, but no later than 3 days from receipt of the said document.</w:t>
      </w:r>
    </w:p>
    <w:p w14:paraId="76B6078E" w14:textId="77777777" w:rsidR="007B39FC" w:rsidRDefault="007B39FC">
      <w:pPr>
        <w:pStyle w:val="P68B1DB1-Normalny4"/>
        <w:ind w:left="704" w:hanging="420"/>
        <w:jc w:val="both"/>
        <w:rPr>
          <w:lang w:val="en-GB"/>
        </w:rPr>
      </w:pPr>
    </w:p>
    <w:p w14:paraId="404CDCC1" w14:textId="0DBC050E" w:rsidR="007B39FC" w:rsidRPr="00703E28" w:rsidRDefault="007B39FC">
      <w:pPr>
        <w:pStyle w:val="P68B1DB1-Normalny4"/>
        <w:ind w:left="704" w:hanging="420"/>
        <w:jc w:val="both"/>
        <w:rPr>
          <w:szCs w:val="22"/>
          <w:lang w:val="en-GB"/>
        </w:rPr>
      </w:pPr>
      <w:r>
        <w:rPr>
          <w:lang w:val="en-GB"/>
        </w:rPr>
        <w:t xml:space="preserve">5. </w:t>
      </w:r>
      <w:r>
        <w:rPr>
          <w:lang w:val="en-GB"/>
        </w:rPr>
        <w:tab/>
        <w:t xml:space="preserve">If the Seller has failed to deliver information required </w:t>
      </w:r>
      <w:r w:rsidR="00C20113">
        <w:rPr>
          <w:lang w:val="en-GB"/>
        </w:rPr>
        <w:t>for</w:t>
      </w:r>
      <w:r>
        <w:rPr>
          <w:lang w:val="en-GB"/>
        </w:rPr>
        <w:t xml:space="preserve"> the CBAM reporting </w:t>
      </w:r>
      <w:r w:rsidR="00C20113">
        <w:rPr>
          <w:lang w:val="en-GB"/>
        </w:rPr>
        <w:t xml:space="preserve">obligation </w:t>
      </w:r>
      <w:r>
        <w:rPr>
          <w:lang w:val="en-GB"/>
        </w:rPr>
        <w:t xml:space="preserve">or has provided incomplete data, the Buyer is entitled to charge the Seller the </w:t>
      </w:r>
      <w:r w:rsidR="000D5AAE">
        <w:rPr>
          <w:lang w:val="en-GB"/>
        </w:rPr>
        <w:t xml:space="preserve">penalty </w:t>
      </w:r>
      <w:r>
        <w:rPr>
          <w:lang w:val="en-GB"/>
        </w:rPr>
        <w:t xml:space="preserve">amount imposed by </w:t>
      </w:r>
      <w:r w:rsidR="00C20113">
        <w:rPr>
          <w:lang w:val="en-GB"/>
        </w:rPr>
        <w:t xml:space="preserve">the </w:t>
      </w:r>
      <w:r>
        <w:rPr>
          <w:lang w:val="en-GB"/>
        </w:rPr>
        <w:t xml:space="preserve">national authorities </w:t>
      </w:r>
      <w:r w:rsidR="00C20113">
        <w:rPr>
          <w:lang w:val="en-GB"/>
        </w:rPr>
        <w:t xml:space="preserve">or the European Commission </w:t>
      </w:r>
      <w:r>
        <w:rPr>
          <w:lang w:val="en-GB"/>
        </w:rPr>
        <w:t xml:space="preserve">for failure to fulfil or undue fulfilment of the CBAM reporting obligations. </w:t>
      </w:r>
    </w:p>
    <w:p w14:paraId="5E32E70B" w14:textId="77777777" w:rsidR="00DA043B" w:rsidRPr="00703E28" w:rsidRDefault="00DA043B">
      <w:pPr>
        <w:ind w:left="704" w:hanging="420"/>
        <w:jc w:val="both"/>
        <w:rPr>
          <w:lang w:val="en-GB"/>
        </w:rPr>
      </w:pPr>
    </w:p>
    <w:p w14:paraId="6114DFE3" w14:textId="77777777" w:rsidR="00DA043B" w:rsidRPr="00703E28" w:rsidRDefault="00DA043B">
      <w:pPr>
        <w:ind w:left="704" w:hanging="420"/>
        <w:jc w:val="both"/>
        <w:rPr>
          <w:lang w:val="en-GB"/>
        </w:rPr>
      </w:pPr>
    </w:p>
    <w:p w14:paraId="78DE038B" w14:textId="77777777" w:rsidR="00DA043B" w:rsidRPr="00703E28" w:rsidRDefault="00DA043B">
      <w:pPr>
        <w:jc w:val="both"/>
        <w:rPr>
          <w:lang w:val="en-GB"/>
        </w:rPr>
      </w:pPr>
    </w:p>
    <w:p w14:paraId="783AE3E7" w14:textId="77777777" w:rsidR="00DA043B" w:rsidRPr="00703E28" w:rsidRDefault="00DA043B">
      <w:pPr>
        <w:rPr>
          <w:lang w:val="en-GB"/>
        </w:rPr>
      </w:pPr>
    </w:p>
    <w:sectPr w:rsidR="00DA043B" w:rsidRPr="00703E28">
      <w:pgSz w:w="11906" w:h="16838"/>
      <w:pgMar w:top="1985"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4A3441"/>
    <w:multiLevelType w:val="hybridMultilevel"/>
    <w:tmpl w:val="C0483FD6"/>
    <w:lvl w:ilvl="0" w:tplc="EC3E9F0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28E51929"/>
    <w:multiLevelType w:val="hybridMultilevel"/>
    <w:tmpl w:val="FB14D9B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55490F4D"/>
    <w:multiLevelType w:val="multilevel"/>
    <w:tmpl w:val="728E36B2"/>
    <w:lvl w:ilvl="0">
      <w:start w:val="1"/>
      <w:numFmt w:val="lowerLetter"/>
      <w:lvlText w:val="%1)"/>
      <w:lvlJc w:val="left"/>
      <w:pPr>
        <w:tabs>
          <w:tab w:val="num" w:pos="1080"/>
        </w:tabs>
        <w:ind w:left="1080" w:hanging="360"/>
      </w:pPr>
      <w:rPr>
        <w:rFonts w:hint="default"/>
        <w:sz w:val="24"/>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3" w15:restartNumberingAfterBreak="0">
    <w:nsid w:val="6B6E3132"/>
    <w:multiLevelType w:val="hybridMultilevel"/>
    <w:tmpl w:val="8596528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6EBB43CF"/>
    <w:multiLevelType w:val="hybridMultilevel"/>
    <w:tmpl w:val="4A68CAA0"/>
    <w:lvl w:ilvl="0" w:tplc="0409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919054832">
    <w:abstractNumId w:val="3"/>
  </w:num>
  <w:num w:numId="2" w16cid:durableId="1806390637">
    <w:abstractNumId w:val="4"/>
  </w:num>
  <w:num w:numId="3" w16cid:durableId="1594120441">
    <w:abstractNumId w:val="1"/>
  </w:num>
  <w:num w:numId="4" w16cid:durableId="1584291928">
    <w:abstractNumId w:val="2"/>
  </w:num>
  <w:num w:numId="5" w16cid:durableId="7094575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64F2"/>
    <w:rsid w:val="000145AD"/>
    <w:rsid w:val="00040D9C"/>
    <w:rsid w:val="0005386C"/>
    <w:rsid w:val="00070C9B"/>
    <w:rsid w:val="00071200"/>
    <w:rsid w:val="000831EE"/>
    <w:rsid w:val="000D5AAE"/>
    <w:rsid w:val="00114D61"/>
    <w:rsid w:val="00127927"/>
    <w:rsid w:val="00161202"/>
    <w:rsid w:val="00162C13"/>
    <w:rsid w:val="00171463"/>
    <w:rsid w:val="00180A4A"/>
    <w:rsid w:val="00193B9E"/>
    <w:rsid w:val="001A041C"/>
    <w:rsid w:val="001B6E8C"/>
    <w:rsid w:val="001B7A17"/>
    <w:rsid w:val="001E3832"/>
    <w:rsid w:val="00227962"/>
    <w:rsid w:val="00236868"/>
    <w:rsid w:val="002442F8"/>
    <w:rsid w:val="0025187D"/>
    <w:rsid w:val="00253133"/>
    <w:rsid w:val="002D1083"/>
    <w:rsid w:val="002D436A"/>
    <w:rsid w:val="002D4CDD"/>
    <w:rsid w:val="002D5B2C"/>
    <w:rsid w:val="002F09FF"/>
    <w:rsid w:val="002F7A25"/>
    <w:rsid w:val="00315AE6"/>
    <w:rsid w:val="00333F2A"/>
    <w:rsid w:val="00334E1D"/>
    <w:rsid w:val="00367CD7"/>
    <w:rsid w:val="003728C6"/>
    <w:rsid w:val="0037793D"/>
    <w:rsid w:val="00394C95"/>
    <w:rsid w:val="003A3C54"/>
    <w:rsid w:val="003C0871"/>
    <w:rsid w:val="003D40DE"/>
    <w:rsid w:val="003E10B2"/>
    <w:rsid w:val="003F67C6"/>
    <w:rsid w:val="00425AAE"/>
    <w:rsid w:val="00437BD1"/>
    <w:rsid w:val="00444B40"/>
    <w:rsid w:val="004474AB"/>
    <w:rsid w:val="00474E26"/>
    <w:rsid w:val="00477F2B"/>
    <w:rsid w:val="004D3E40"/>
    <w:rsid w:val="004D4359"/>
    <w:rsid w:val="004F1210"/>
    <w:rsid w:val="0050266C"/>
    <w:rsid w:val="00527B77"/>
    <w:rsid w:val="005433DB"/>
    <w:rsid w:val="0055039A"/>
    <w:rsid w:val="00557D70"/>
    <w:rsid w:val="00575A3D"/>
    <w:rsid w:val="005A3348"/>
    <w:rsid w:val="005D2391"/>
    <w:rsid w:val="005E24D2"/>
    <w:rsid w:val="005F629F"/>
    <w:rsid w:val="00601864"/>
    <w:rsid w:val="006040B4"/>
    <w:rsid w:val="00604837"/>
    <w:rsid w:val="00632700"/>
    <w:rsid w:val="00635B17"/>
    <w:rsid w:val="00641E05"/>
    <w:rsid w:val="00651F19"/>
    <w:rsid w:val="00667EF6"/>
    <w:rsid w:val="00687FF7"/>
    <w:rsid w:val="006939D8"/>
    <w:rsid w:val="006D1382"/>
    <w:rsid w:val="006D433E"/>
    <w:rsid w:val="006E27A4"/>
    <w:rsid w:val="00703E28"/>
    <w:rsid w:val="007177E1"/>
    <w:rsid w:val="0072085B"/>
    <w:rsid w:val="00731197"/>
    <w:rsid w:val="00747957"/>
    <w:rsid w:val="007815B9"/>
    <w:rsid w:val="007831D2"/>
    <w:rsid w:val="007A206D"/>
    <w:rsid w:val="007A514E"/>
    <w:rsid w:val="007B19D9"/>
    <w:rsid w:val="007B39FC"/>
    <w:rsid w:val="007B403A"/>
    <w:rsid w:val="007F5B62"/>
    <w:rsid w:val="008240F0"/>
    <w:rsid w:val="008515ED"/>
    <w:rsid w:val="00855CDE"/>
    <w:rsid w:val="00861127"/>
    <w:rsid w:val="00893235"/>
    <w:rsid w:val="00901273"/>
    <w:rsid w:val="00926BB4"/>
    <w:rsid w:val="009302BC"/>
    <w:rsid w:val="00932BED"/>
    <w:rsid w:val="00943B94"/>
    <w:rsid w:val="00950EED"/>
    <w:rsid w:val="009A010A"/>
    <w:rsid w:val="009B4AC5"/>
    <w:rsid w:val="009B69BD"/>
    <w:rsid w:val="009C5F06"/>
    <w:rsid w:val="009D430E"/>
    <w:rsid w:val="009E420B"/>
    <w:rsid w:val="009E6811"/>
    <w:rsid w:val="009F5AB7"/>
    <w:rsid w:val="00A07FED"/>
    <w:rsid w:val="00A11B90"/>
    <w:rsid w:val="00A24489"/>
    <w:rsid w:val="00A358B4"/>
    <w:rsid w:val="00A64FCB"/>
    <w:rsid w:val="00A654BC"/>
    <w:rsid w:val="00AD74C4"/>
    <w:rsid w:val="00AF1987"/>
    <w:rsid w:val="00B02C95"/>
    <w:rsid w:val="00B045BB"/>
    <w:rsid w:val="00B0793F"/>
    <w:rsid w:val="00B27645"/>
    <w:rsid w:val="00B33A66"/>
    <w:rsid w:val="00B36E81"/>
    <w:rsid w:val="00B44D88"/>
    <w:rsid w:val="00B57794"/>
    <w:rsid w:val="00B70410"/>
    <w:rsid w:val="00B823F5"/>
    <w:rsid w:val="00B841DD"/>
    <w:rsid w:val="00B9738F"/>
    <w:rsid w:val="00BA06F9"/>
    <w:rsid w:val="00BA25BE"/>
    <w:rsid w:val="00BA7D47"/>
    <w:rsid w:val="00BD2691"/>
    <w:rsid w:val="00BE4901"/>
    <w:rsid w:val="00BE590D"/>
    <w:rsid w:val="00BF4095"/>
    <w:rsid w:val="00C20113"/>
    <w:rsid w:val="00C33D60"/>
    <w:rsid w:val="00C42CBD"/>
    <w:rsid w:val="00C45211"/>
    <w:rsid w:val="00C53635"/>
    <w:rsid w:val="00C64AC8"/>
    <w:rsid w:val="00C96E0B"/>
    <w:rsid w:val="00CB19A5"/>
    <w:rsid w:val="00D35276"/>
    <w:rsid w:val="00D43760"/>
    <w:rsid w:val="00D43C4B"/>
    <w:rsid w:val="00D60232"/>
    <w:rsid w:val="00D825D9"/>
    <w:rsid w:val="00D854E9"/>
    <w:rsid w:val="00DA043B"/>
    <w:rsid w:val="00DA6FA1"/>
    <w:rsid w:val="00DD6326"/>
    <w:rsid w:val="00DE3F43"/>
    <w:rsid w:val="00DE4766"/>
    <w:rsid w:val="00DF3FEB"/>
    <w:rsid w:val="00E200A0"/>
    <w:rsid w:val="00E21E21"/>
    <w:rsid w:val="00E51D0D"/>
    <w:rsid w:val="00E631F2"/>
    <w:rsid w:val="00EE3529"/>
    <w:rsid w:val="00F03599"/>
    <w:rsid w:val="00F233AC"/>
    <w:rsid w:val="00F31DF3"/>
    <w:rsid w:val="00F363F9"/>
    <w:rsid w:val="00F52351"/>
    <w:rsid w:val="00F67D42"/>
    <w:rsid w:val="00F72352"/>
    <w:rsid w:val="00F745E7"/>
    <w:rsid w:val="00F74B7F"/>
    <w:rsid w:val="00F84DE8"/>
    <w:rsid w:val="00FD64F2"/>
    <w:rsid w:val="00FD757F"/>
    <w:rsid w:val="00FE4DCA"/>
    <w:rsid w:val="00FE531E"/>
    <w:rsid w:val="00FE578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F60D81"/>
  <w15:docId w15:val="{479645E4-E27C-4D71-B545-C6B88A95D0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D64F2"/>
    <w:pPr>
      <w:spacing w:after="0" w:line="240" w:lineRule="auto"/>
    </w:pPr>
    <w:rPr>
      <w:rFonts w:ascii="Arial" w:eastAsia="Times New Roman" w:hAnsi="Arial" w:cs="Arial"/>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oj-normal">
    <w:name w:val="oj-normal"/>
    <w:basedOn w:val="Normalny"/>
    <w:rsid w:val="00FD64F2"/>
    <w:pPr>
      <w:spacing w:before="100" w:beforeAutospacing="1" w:after="100" w:afterAutospacing="1"/>
    </w:pPr>
    <w:rPr>
      <w:rFonts w:ascii="Times New Roman" w:hAnsi="Times New Roman" w:cs="Times New Roman"/>
    </w:rPr>
  </w:style>
  <w:style w:type="paragraph" w:styleId="Tekstkomentarza">
    <w:name w:val="annotation text"/>
    <w:basedOn w:val="Normalny"/>
    <w:link w:val="TekstkomentarzaZnak"/>
    <w:uiPriority w:val="99"/>
    <w:semiHidden/>
    <w:unhideWhenUsed/>
    <w:rsid w:val="0072085B"/>
    <w:rPr>
      <w:sz w:val="20"/>
      <w:szCs w:val="20"/>
    </w:rPr>
  </w:style>
  <w:style w:type="character" w:customStyle="1" w:styleId="TekstkomentarzaZnak">
    <w:name w:val="Tekst komentarza Znak"/>
    <w:basedOn w:val="Domylnaczcionkaakapitu"/>
    <w:link w:val="Tekstkomentarza"/>
    <w:uiPriority w:val="99"/>
    <w:semiHidden/>
    <w:rsid w:val="0072085B"/>
    <w:rPr>
      <w:rFonts w:ascii="Arial" w:eastAsia="Times New Roman" w:hAnsi="Arial" w:cs="Arial"/>
      <w:sz w:val="20"/>
      <w:szCs w:val="20"/>
    </w:rPr>
  </w:style>
  <w:style w:type="character" w:styleId="Odwoaniedokomentarza">
    <w:name w:val="annotation reference"/>
    <w:uiPriority w:val="99"/>
    <w:semiHidden/>
    <w:rsid w:val="0072085B"/>
    <w:rPr>
      <w:sz w:val="16"/>
      <w:szCs w:val="16"/>
    </w:rPr>
  </w:style>
  <w:style w:type="paragraph" w:styleId="Akapitzlist">
    <w:name w:val="List Paragraph"/>
    <w:basedOn w:val="Normalny"/>
    <w:uiPriority w:val="34"/>
    <w:qFormat/>
    <w:rsid w:val="009F5AB7"/>
    <w:pPr>
      <w:ind w:left="720"/>
      <w:contextualSpacing/>
    </w:pPr>
  </w:style>
  <w:style w:type="paragraph" w:styleId="Tematkomentarza">
    <w:name w:val="annotation subject"/>
    <w:basedOn w:val="Tekstkomentarza"/>
    <w:next w:val="Tekstkomentarza"/>
    <w:link w:val="TematkomentarzaZnak"/>
    <w:uiPriority w:val="99"/>
    <w:semiHidden/>
    <w:unhideWhenUsed/>
    <w:rsid w:val="00641E05"/>
    <w:rPr>
      <w:b/>
      <w:bCs/>
    </w:rPr>
  </w:style>
  <w:style w:type="character" w:customStyle="1" w:styleId="TematkomentarzaZnak">
    <w:name w:val="Temat komentarza Znak"/>
    <w:basedOn w:val="TekstkomentarzaZnak"/>
    <w:link w:val="Tematkomentarza"/>
    <w:uiPriority w:val="99"/>
    <w:semiHidden/>
    <w:rsid w:val="00641E05"/>
    <w:rPr>
      <w:rFonts w:ascii="Arial" w:eastAsia="Times New Roman" w:hAnsi="Arial" w:cs="Arial"/>
      <w:b/>
      <w:bCs/>
      <w:sz w:val="20"/>
      <w:szCs w:val="20"/>
    </w:rPr>
  </w:style>
  <w:style w:type="paragraph" w:styleId="Tekstdymka">
    <w:name w:val="Balloon Text"/>
    <w:basedOn w:val="Normalny"/>
    <w:link w:val="TekstdymkaZnak"/>
    <w:uiPriority w:val="99"/>
    <w:semiHidden/>
    <w:unhideWhenUsed/>
    <w:rsid w:val="00641E05"/>
    <w:rPr>
      <w:rFonts w:ascii="Segoe UI" w:hAnsi="Segoe UI" w:cs="Segoe UI"/>
      <w:sz w:val="18"/>
      <w:szCs w:val="18"/>
    </w:rPr>
  </w:style>
  <w:style w:type="character" w:customStyle="1" w:styleId="TekstdymkaZnak">
    <w:name w:val="Tekst dymka Znak"/>
    <w:basedOn w:val="Domylnaczcionkaakapitu"/>
    <w:link w:val="Tekstdymka"/>
    <w:uiPriority w:val="99"/>
    <w:semiHidden/>
    <w:rsid w:val="00641E05"/>
    <w:rPr>
      <w:rFonts w:ascii="Segoe UI" w:eastAsia="Times New Roman" w:hAnsi="Segoe UI" w:cs="Segoe UI"/>
      <w:sz w:val="18"/>
      <w:szCs w:val="18"/>
    </w:rPr>
  </w:style>
  <w:style w:type="character" w:styleId="Hipercze">
    <w:name w:val="Hyperlink"/>
    <w:basedOn w:val="Domylnaczcionkaakapitu"/>
    <w:uiPriority w:val="99"/>
    <w:unhideWhenUsed/>
    <w:rsid w:val="009302BC"/>
    <w:rPr>
      <w:color w:val="0563C1" w:themeColor="hyperlink"/>
      <w:u w:val="single"/>
    </w:rPr>
  </w:style>
  <w:style w:type="paragraph" w:customStyle="1" w:styleId="P68B1DB1-Normalny1">
    <w:name w:val="P68B1DB1-Normalny1"/>
    <w:basedOn w:val="Normalny"/>
    <w:rPr>
      <w:rFonts w:asciiTheme="minorHAnsi" w:hAnsiTheme="minorHAnsi" w:cstheme="minorHAnsi"/>
    </w:rPr>
  </w:style>
  <w:style w:type="paragraph" w:customStyle="1" w:styleId="P68B1DB1-Normalny2">
    <w:name w:val="P68B1DB1-Normalny2"/>
    <w:basedOn w:val="Normalny"/>
    <w:rPr>
      <w:rFonts w:asciiTheme="minorHAnsi" w:hAnsiTheme="minorHAnsi" w:cstheme="minorHAnsi"/>
      <w:color w:val="FF0000"/>
      <w:sz w:val="16"/>
    </w:rPr>
  </w:style>
  <w:style w:type="paragraph" w:customStyle="1" w:styleId="P68B1DB1-Normalny3">
    <w:name w:val="P68B1DB1-Normalny3"/>
    <w:basedOn w:val="Normalny"/>
    <w:rPr>
      <w:rFonts w:asciiTheme="minorHAnsi" w:hAnsiTheme="minorHAnsi" w:cstheme="minorHAnsi"/>
      <w:b/>
      <w:sz w:val="22"/>
    </w:rPr>
  </w:style>
  <w:style w:type="paragraph" w:customStyle="1" w:styleId="P68B1DB1-Normalny4">
    <w:name w:val="P68B1DB1-Normalny4"/>
    <w:basedOn w:val="Normalny"/>
    <w:rPr>
      <w:rFonts w:asciiTheme="minorHAnsi" w:hAnsiTheme="minorHAnsi" w:cstheme="minorHAnsi"/>
      <w:sz w:val="22"/>
    </w:rPr>
  </w:style>
  <w:style w:type="paragraph" w:customStyle="1" w:styleId="P68B1DB1-Normalny5">
    <w:name w:val="P68B1DB1-Normalny5"/>
    <w:basedOn w:val="Normalny"/>
    <w:rPr>
      <w:rFonts w:ascii="Calibri" w:hAnsi="Calibri" w:cs="Calibri"/>
      <w:sz w:val="16"/>
    </w:rPr>
  </w:style>
  <w:style w:type="paragraph" w:styleId="Poprawka">
    <w:name w:val="Revision"/>
    <w:hidden/>
    <w:uiPriority w:val="99"/>
    <w:semiHidden/>
    <w:rsid w:val="00161202"/>
    <w:pPr>
      <w:spacing w:after="0" w:line="240" w:lineRule="auto"/>
    </w:pPr>
    <w:rPr>
      <w:rFonts w:ascii="Arial" w:eastAsia="Times New Roman" w:hAnsi="Arial" w:cs="Arial"/>
      <w:sz w:val="24"/>
      <w:szCs w:val="24"/>
    </w:rPr>
  </w:style>
  <w:style w:type="character" w:styleId="UyteHipercze">
    <w:name w:val="FollowedHyperlink"/>
    <w:basedOn w:val="Domylnaczcionkaakapitu"/>
    <w:uiPriority w:val="99"/>
    <w:semiHidden/>
    <w:unhideWhenUsed/>
    <w:rsid w:val="00D3527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taxation-customs.ec.europa.eu/document/download/2c15cd0e-2447-4ef8-ab70-68b80b66ede8_en?filename=CBAM%20Communication%20template%20for%20installations_en_20241213.xlsx"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6F30A5-D84D-4D0B-83F5-E1DE1F58CE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429</Words>
  <Characters>2664</Characters>
  <Application>Microsoft Office Word</Application>
  <DocSecurity>0</DocSecurity>
  <Lines>140</Lines>
  <Paragraphs>79</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3014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Hańczyk Michał (PKN)</dc:creator>
  <cp:lastModifiedBy>Puchalski Andrzej (ORL)</cp:lastModifiedBy>
  <cp:revision>2</cp:revision>
  <dcterms:created xsi:type="dcterms:W3CDTF">2025-12-30T10:29:00Z</dcterms:created>
  <dcterms:modified xsi:type="dcterms:W3CDTF">2025-12-30T10:29:00Z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3b60e38-724b-44cb-8b52-7841a0346e9d_Enabled">
    <vt:lpwstr>true</vt:lpwstr>
  </property>
  <property fmtid="{D5CDD505-2E9C-101B-9397-08002B2CF9AE}" pid="3" name="MSIP_Label_b3b60e38-724b-44cb-8b52-7841a0346e9d_SetDate">
    <vt:lpwstr>2025-12-30T10:29:55Z</vt:lpwstr>
  </property>
  <property fmtid="{D5CDD505-2E9C-101B-9397-08002B2CF9AE}" pid="4" name="MSIP_Label_b3b60e38-724b-44cb-8b52-7841a0346e9d_Method">
    <vt:lpwstr>Standard</vt:lpwstr>
  </property>
  <property fmtid="{D5CDD505-2E9C-101B-9397-08002B2CF9AE}" pid="5" name="MSIP_Label_b3b60e38-724b-44cb-8b52-7841a0346e9d_Name">
    <vt:lpwstr>aad.gkorl.label.internal.gkorl</vt:lpwstr>
  </property>
  <property fmtid="{D5CDD505-2E9C-101B-9397-08002B2CF9AE}" pid="6" name="MSIP_Label_b3b60e38-724b-44cb-8b52-7841a0346e9d_SiteId">
    <vt:lpwstr>49ed4135-8213-4cdc-b4ed-aca2fd2e32c2</vt:lpwstr>
  </property>
  <property fmtid="{D5CDD505-2E9C-101B-9397-08002B2CF9AE}" pid="7" name="MSIP_Label_b3b60e38-724b-44cb-8b52-7841a0346e9d_ActionId">
    <vt:lpwstr>6f9c5836-0347-488e-b06c-8a3f01c8dc74</vt:lpwstr>
  </property>
  <property fmtid="{D5CDD505-2E9C-101B-9397-08002B2CF9AE}" pid="8" name="MSIP_Label_b3b60e38-724b-44cb-8b52-7841a0346e9d_ContentBits">
    <vt:lpwstr>0</vt:lpwstr>
  </property>
  <property fmtid="{D5CDD505-2E9C-101B-9397-08002B2CF9AE}" pid="9" name="MSIP_Label_b3b60e38-724b-44cb-8b52-7841a0346e9d_Tag">
    <vt:lpwstr>10, 3, 0, 1</vt:lpwstr>
  </property>
</Properties>
</file>